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A56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FA2">
              <w:rPr>
                <w:rFonts w:ascii="Times New Roman" w:hAnsi="Times New Roman" w:cs="Times New Roman"/>
                <w:b/>
                <w:sz w:val="28"/>
                <w:szCs w:val="28"/>
              </w:rPr>
              <w:t>https://journal-medicine.ru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12 – возможна передача полученных ПДн только по внутренней сети (обеспечивается доступ к информации лишь для строго определенных сотрудников); 13 – возможна передача полученных ПДн с использованием информационно-телекоммуникационных сетей; 14 – полученные данные не могут передаваться Оператором, осуществляющим обработку ПДн.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A56FA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2024-03-05T07:15:00Z</dcterms:modified>
</cp:coreProperties>
</file>